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w:t>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highlight w:val="yellow"/>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of its submission, then such Dispute shall be resolved in accordance with the Dispute Resolution Procedure.</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w:t>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highlight w:val="yellow"/>
          <w:rtl w:val="0"/>
        </w:rPr>
        <w:t xml:space="preserve">number of days]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w:t>
      </w:r>
    </w:p>
    <w:p w:rsidR="00000000" w:rsidDel="00000000" w:rsidP="00000000" w:rsidRDefault="00000000" w:rsidRPr="00000000" w14:paraId="0000003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RM6255 Voucher Schemes</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2021</w:t>
    </w: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h0+iFw6dk/1d34Esgspk18H8g==">AMUW2mW6mq0I5ejktFUYWkqXgk/0wG2Ne7kVVQfiJcjrHD61k6TOyGY1DF54P4nQYpriodHDJ7ZXoJ4+MtaDfLYbW9N+99vYzpbeIH0rzcTfr6PDhTWBrGomoxyvr0Sn2u6pcL3AodWxacyPbYYT4oak2r8sAF0H8QuHTS/Mk6pZiEDC/kYjIaODVCp+2Z16BBdAHQVXLsiqsareWy4Ae3D0ohpUAzSPrpjCDnGhLwVU3UONsez6FDkO1R7Z8UKPcIB374Xa0p/zov2T9qBGblMctz1ItL7RN+J/cloQzKoq4AwsheV8hy8KAYHuCQcs0KpW6apV6HB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